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5E" w:rsidRPr="006D2F5E" w:rsidRDefault="006D2F5E" w:rsidP="006D2F5E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both"/>
        <w:rPr>
          <w:rFonts w:ascii="Tahoma" w:eastAsia="Tahoma" w:hAnsi="Tahoma" w:cs="Tahoma"/>
          <w:b/>
          <w:sz w:val="20"/>
          <w:szCs w:val="20"/>
          <w:lang w:eastAsia="ar-SA"/>
        </w:rPr>
      </w:pPr>
      <w:r w:rsidRPr="006D2F5E">
        <w:rPr>
          <w:rFonts w:ascii="Arial" w:eastAsia="Arial" w:hAnsi="Arial" w:cs="Arial"/>
          <w:b/>
          <w:color w:val="002060"/>
          <w:sz w:val="24"/>
          <w:szCs w:val="24"/>
          <w:lang w:eastAsia="ar-SA"/>
        </w:rPr>
        <w:t>ΠΑΡΑΡΤΗΜΑ ΙΙΙ – Υπόδειγμα Τεχνικής Προσφοράς</w:t>
      </w:r>
    </w:p>
    <w:p w:rsidR="006D2F5E" w:rsidRPr="006D2F5E" w:rsidRDefault="006D2F5E" w:rsidP="006D2F5E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W w:w="147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701"/>
        <w:gridCol w:w="4961"/>
        <w:gridCol w:w="1985"/>
        <w:gridCol w:w="2835"/>
        <w:gridCol w:w="2296"/>
      </w:tblGrid>
      <w:tr w:rsidR="006D2F5E" w:rsidRPr="006D2F5E" w:rsidTr="006D2F5E">
        <w:trPr>
          <w:trHeight w:val="1290"/>
        </w:trPr>
        <w:tc>
          <w:tcPr>
            <w:tcW w:w="993" w:type="dxa"/>
            <w:shd w:val="clear" w:color="auto" w:fill="C3BD96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6D2F5E">
              <w:rPr>
                <w:rFonts w:ascii="Calibri" w:eastAsia="Calibri" w:hAnsi="Calibri" w:cs="Calibri"/>
                <w:b/>
                <w:lang w:eastAsia="ar-SA"/>
              </w:rPr>
              <w:t>ΤΜΗΜΑ</w:t>
            </w:r>
          </w:p>
        </w:tc>
        <w:tc>
          <w:tcPr>
            <w:tcW w:w="1701" w:type="dxa"/>
            <w:shd w:val="clear" w:color="auto" w:fill="C3BD96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6D2F5E">
              <w:rPr>
                <w:rFonts w:ascii="Calibri" w:eastAsia="Calibri" w:hAnsi="Calibri" w:cs="Calibri"/>
                <w:b/>
                <w:lang w:eastAsia="ar-SA"/>
              </w:rPr>
              <w:t>ΕΙΔΟΣ</w:t>
            </w:r>
          </w:p>
        </w:tc>
        <w:tc>
          <w:tcPr>
            <w:tcW w:w="4961" w:type="dxa"/>
            <w:shd w:val="clear" w:color="auto" w:fill="C3BD96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6D2F5E">
              <w:rPr>
                <w:rFonts w:ascii="Calibri" w:eastAsia="Calibri" w:hAnsi="Calibri" w:cs="Calibri"/>
                <w:b/>
                <w:lang w:eastAsia="ar-SA"/>
              </w:rPr>
              <w:t>TEXNIKEΣ  ΠΡΟΔΙΑΓΡΑΦΕΣ</w:t>
            </w:r>
          </w:p>
        </w:tc>
        <w:tc>
          <w:tcPr>
            <w:tcW w:w="1985" w:type="dxa"/>
            <w:shd w:val="clear" w:color="auto" w:fill="C3BD96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6D2F5E">
              <w:rPr>
                <w:rFonts w:ascii="Calibri" w:eastAsia="Calibri" w:hAnsi="Calibri" w:cs="Calibri"/>
                <w:b/>
                <w:lang w:eastAsia="ar-SA"/>
              </w:rPr>
              <w:t>ΣΥΜΜΟΡΦΩΣΗ</w:t>
            </w:r>
          </w:p>
        </w:tc>
        <w:tc>
          <w:tcPr>
            <w:tcW w:w="2835" w:type="dxa"/>
            <w:shd w:val="clear" w:color="auto" w:fill="C3BD96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6D2F5E">
              <w:rPr>
                <w:rFonts w:ascii="Calibri" w:eastAsia="Calibri" w:hAnsi="Calibri" w:cs="Calibri"/>
                <w:b/>
                <w:lang w:eastAsia="ar-SA"/>
              </w:rPr>
              <w:t>ΠΡΟΣΦΕΡΟΜΕΝΟ ΕΙΔΟΣ</w:t>
            </w:r>
          </w:p>
        </w:tc>
        <w:tc>
          <w:tcPr>
            <w:tcW w:w="2296" w:type="dxa"/>
            <w:shd w:val="clear" w:color="auto" w:fill="C3BD96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6D2F5E">
              <w:rPr>
                <w:rFonts w:ascii="Calibri" w:eastAsia="Calibri" w:hAnsi="Calibri" w:cs="Calibri"/>
                <w:b/>
                <w:lang w:eastAsia="ar-SA"/>
              </w:rPr>
              <w:t>ΠΑΡΑΠΟΜΠΗ ΣΕ ΕΓΓΡΑΦΑ ΤΟΥ ΚΑΤΑΣΚΕΥΑ</w:t>
            </w:r>
            <w:bookmarkStart w:id="0" w:name="_GoBack"/>
            <w:bookmarkEnd w:id="0"/>
            <w:r w:rsidRPr="006D2F5E">
              <w:rPr>
                <w:rFonts w:ascii="Calibri" w:eastAsia="Calibri" w:hAnsi="Calibri" w:cs="Calibri"/>
                <w:b/>
                <w:lang w:eastAsia="ar-SA"/>
              </w:rPr>
              <w:t>ΣΤΙΚΟΥ ΟΙΚΟΥ</w:t>
            </w:r>
          </w:p>
        </w:tc>
      </w:tr>
      <w:tr w:rsidR="006D2F5E" w:rsidRPr="006D2F5E" w:rsidTr="006D2F5E">
        <w:trPr>
          <w:trHeight w:val="3470"/>
        </w:trPr>
        <w:tc>
          <w:tcPr>
            <w:tcW w:w="993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170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proofErr w:type="spellStart"/>
            <w:r w:rsidRPr="006D2F5E">
              <w:rPr>
                <w:rFonts w:ascii="Calibri" w:eastAsia="Calibri" w:hAnsi="Calibri" w:cs="Calibri"/>
                <w:lang w:val="en-US" w:eastAsia="ar-SA"/>
              </w:rPr>
              <w:t>Oncomine</w:t>
            </w:r>
            <w:proofErr w:type="spellEnd"/>
            <w:r w:rsidRPr="006D2F5E">
              <w:rPr>
                <w:rFonts w:ascii="Calibri" w:eastAsia="Calibri" w:hAnsi="Calibri" w:cs="Calibri"/>
                <w:lang w:val="en-US" w:eastAsia="ar-SA"/>
              </w:rPr>
              <w:t>™ TCR Beta-SR Assay</w:t>
            </w:r>
          </w:p>
        </w:tc>
        <w:tc>
          <w:tcPr>
            <w:tcW w:w="496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Κιτ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για την μελέτη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κλωνικότητας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clonal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expansion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) Τ-λεμφοκυττάρων  με τεχνολογία NGS σε πλατφόρμα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Ion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Torrent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. Να παρέχει τα αντιδραστήρια για την κατασκευή της βιβλιοθήκης και μια ενιαία δεξαμενή πολλαπλών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εκκινητών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PCR για την παρασκευή βιβλιοθηκών τεχνολογίας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Ampliseq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από δείγματα ιστών FFPE, φρέσκων ιστών και από αίμα.  Η δοκιμασία να επιτρέπει την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αναλυση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της CDR3 περιοχής του TCR γονιδίου  με τη χρήση μεγάλου εύρους ποσού  DNA (100 ng-1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μg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). Να περιέχει αντιδραστήρια για ανάλυση 24 δειγμάτων </w:t>
            </w:r>
          </w:p>
        </w:tc>
        <w:tc>
          <w:tcPr>
            <w:tcW w:w="198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83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296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6D2F5E" w:rsidRPr="006D2F5E" w:rsidTr="006D2F5E">
        <w:trPr>
          <w:trHeight w:val="7078"/>
        </w:trPr>
        <w:tc>
          <w:tcPr>
            <w:tcW w:w="993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proofErr w:type="spellStart"/>
            <w:r w:rsidRPr="006D2F5E">
              <w:rPr>
                <w:rFonts w:ascii="Calibri" w:eastAsia="Calibri" w:hAnsi="Calibri" w:cs="Calibri"/>
                <w:lang w:val="en-US" w:eastAsia="ar-SA"/>
              </w:rPr>
              <w:t>Oncomine</w:t>
            </w:r>
            <w:proofErr w:type="spellEnd"/>
            <w:r w:rsidRPr="006D2F5E">
              <w:rPr>
                <w:rFonts w:ascii="Calibri" w:eastAsia="Calibri" w:hAnsi="Calibri" w:cs="Calibri"/>
                <w:lang w:val="en-US" w:eastAsia="ar-SA"/>
              </w:rPr>
              <w:t>™ Pan-Cancer Cell-Free Assay</w:t>
            </w:r>
          </w:p>
        </w:tc>
        <w:tc>
          <w:tcPr>
            <w:tcW w:w="496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Κιτ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για την μελέτη  πολλαπλών στόχων σε DNA και  RNA απομονωμένο από πλάσμα </w:t>
            </w:r>
            <w:r w:rsidRPr="006D2F5E">
              <w:rPr>
                <w:rFonts w:ascii="Calibri" w:eastAsia="Calibri" w:hAnsi="Calibri" w:cs="Calibri"/>
                <w:lang w:eastAsia="ar-SA"/>
              </w:rPr>
              <w:br/>
              <w:t xml:space="preserve">(υγρή βιοψία) με τεχνολογία NGS σε πλατφόρμα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Ion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Torrent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.  Να παρέχει τα αντιδραστήρια για την κατασκευή της βιβλιοθήκης και μια ενιαία δεξαμενή πολλαπλών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εκκινητών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PCR για την παρασκευή βιβλιοθηκών τεχνολογίας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Ampliseq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από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cfDNA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. Η δοκιμασία να επιτρέπει την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αναλυση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σημειακών μεταλλάξεων και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ελείψεων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και προσθηκών,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fusions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και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CNV's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σε τουλάχιστον 50 γονίδια που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εμμφανίζονται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σε διάφορους τύπους καρκίνου. Να καλύπτονται τα γονίδια:   AKT1, ALK, AR, ARAF, BRAF, CHEK2, CTNNB1, DDR2,EGFR, ERBB2, ERBB3, ESR1, FGFR1, FGFR2, FGFR3, FGFR4, FLT3, GNA11, GNAQ, GNAS, HRAS, IDH1, IDH2, KIT, KRAS, MAP2K1, MAP2K2, MET, MTOR, NRAS, NTRK1, NTRK3, PDGFRA, PIK3CA, RAF1, RET, ROS1, SF3B1, SMAD4, SMO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Hotspot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genes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SNVs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) and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short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indels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>) ALK, BRAF, ERG, ETV1, FGFR1, FGFR2, FGFR3, MET, NTRK1, NTRK3, RET, ROS1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Gene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fusions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>)  MET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exon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14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skipping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>)  CCND1, CCND2, CCND3, CDK4, CDK6, EGFR, ERBB2, FGFR1, FGFR2, FGFR3, MET, MYC 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CNVs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>) APC, FBXW7, PTEN, TP53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Tumor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suppressor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genes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)  Να μπορεί να επιτευχθεί ένα όριο ανίχνευσης (LOD)  0,1%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allele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frequence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για τα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SNVs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>. Συσκευασία 8 εξετάσεων.</w:t>
            </w:r>
          </w:p>
        </w:tc>
        <w:tc>
          <w:tcPr>
            <w:tcW w:w="198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83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296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6D2F5E" w:rsidRPr="006D2F5E" w:rsidTr="006D2F5E">
        <w:trPr>
          <w:trHeight w:val="3540"/>
        </w:trPr>
        <w:tc>
          <w:tcPr>
            <w:tcW w:w="993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6D2F5E">
              <w:rPr>
                <w:rFonts w:ascii="Calibri" w:eastAsia="Calibri" w:hAnsi="Calibri" w:cs="Calibri"/>
                <w:lang w:val="en-US" w:eastAsia="ar-SA"/>
              </w:rPr>
              <w:t>Ion Torrent™ Dual Barcode Kit 1-96</w:t>
            </w:r>
          </w:p>
        </w:tc>
        <w:tc>
          <w:tcPr>
            <w:tcW w:w="496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Κιτ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 96 μοναδικά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σημασμένων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ολιγονουκλεοτιδίων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Barcodes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), με διπλή αναγνώριση, κατάλληλων για τη δημιουργία βιβλιοθηκών DNA. Να επιτρέπουν την ταυτόχρονη ανάμιξη βιβλιοθηκών DNA από μέχρι 96 διαφορετικά δείγματα πριν από την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κλωνική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ενίσχυση των βιβλιοθηκών σε σφαιρίδια με PCR σε γαλάκτωμα για διεξαγωγή της ταυτόχρονης πολλαπλής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αλληλούχισης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των βιβλιοθηκών με τεχνολογία ημιαγωγών. Να επιτρέπουν την ίση εκπροσώπηση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amplicons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στο μίγμα βιβλιοθηκών ώστε να αναγνωρίζονται και οι σπάνιοι. Συσκευασία πλάκας 96 θέσεων.</w:t>
            </w:r>
          </w:p>
        </w:tc>
        <w:tc>
          <w:tcPr>
            <w:tcW w:w="198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83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296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6D2F5E" w:rsidRPr="006D2F5E" w:rsidTr="006D2F5E">
        <w:trPr>
          <w:trHeight w:val="1819"/>
        </w:trPr>
        <w:tc>
          <w:tcPr>
            <w:tcW w:w="993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170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6D2F5E">
              <w:rPr>
                <w:rFonts w:ascii="Calibri" w:eastAsia="Calibri" w:hAnsi="Calibri" w:cs="Calibri"/>
                <w:lang w:val="en-US" w:eastAsia="ar-SA"/>
              </w:rPr>
              <w:t xml:space="preserve">Ion Library </w:t>
            </w:r>
            <w:proofErr w:type="spellStart"/>
            <w:r w:rsidRPr="006D2F5E">
              <w:rPr>
                <w:rFonts w:ascii="Calibri" w:eastAsia="Calibri" w:hAnsi="Calibri" w:cs="Calibri"/>
                <w:lang w:val="en-US" w:eastAsia="ar-SA"/>
              </w:rPr>
              <w:t>TaqMan</w:t>
            </w:r>
            <w:proofErr w:type="spellEnd"/>
            <w:r w:rsidRPr="006D2F5E">
              <w:rPr>
                <w:rFonts w:ascii="Calibri" w:eastAsia="Calibri" w:hAnsi="Calibri" w:cs="Calibri"/>
                <w:lang w:val="en-US" w:eastAsia="ar-SA"/>
              </w:rPr>
              <w:t>™ Quantitation Kit</w:t>
            </w:r>
          </w:p>
        </w:tc>
        <w:tc>
          <w:tcPr>
            <w:tcW w:w="496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Κιτ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για την ανίχνευση και τον ποσοτικό προσδιορισμό 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Femtomolar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ποσοτήτων  βιβλιοθηκών για χρήση σε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sequencing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με ημιαγωγούς. Να περιέχει μίγμα για  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real-time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PCR 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μεTaqMan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®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probes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 και ένα πρότυπο βιβλιοθήκη, συσκευασίας 250 αντιδράσεων.</w:t>
            </w:r>
          </w:p>
        </w:tc>
        <w:tc>
          <w:tcPr>
            <w:tcW w:w="198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83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296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6D2F5E" w:rsidRPr="006D2F5E" w:rsidTr="006D2F5E">
        <w:trPr>
          <w:trHeight w:val="1547"/>
        </w:trPr>
        <w:tc>
          <w:tcPr>
            <w:tcW w:w="993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170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Ion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540™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Chip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Kit</w:t>
            </w:r>
            <w:proofErr w:type="spellEnd"/>
          </w:p>
        </w:tc>
        <w:tc>
          <w:tcPr>
            <w:tcW w:w="496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 xml:space="preserve">Συσκευές με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μικροδιατάξεις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ημιαγωγών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μικροσυστοιχίες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) κατάλληλων για προσδιορισμό αλληλουχίας με χημεία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Ion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Torrent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. Να επιτρέπουν την παραγωγή από 10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Gb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έως 15Gb δεδομένων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αλληλούχισης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(60-80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εκατομύρια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διαβάσματα), συσκευασίας 8 τεμαχίων.</w:t>
            </w:r>
          </w:p>
        </w:tc>
        <w:tc>
          <w:tcPr>
            <w:tcW w:w="198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83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296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6D2F5E" w:rsidRPr="006D2F5E" w:rsidTr="006D2F5E">
        <w:trPr>
          <w:trHeight w:val="70"/>
        </w:trPr>
        <w:tc>
          <w:tcPr>
            <w:tcW w:w="993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170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proofErr w:type="spellStart"/>
            <w:r w:rsidRPr="006D2F5E">
              <w:rPr>
                <w:rFonts w:ascii="Calibri" w:eastAsia="Calibri" w:hAnsi="Calibri" w:cs="Calibri"/>
                <w:lang w:val="en-US" w:eastAsia="ar-SA"/>
              </w:rPr>
              <w:t>Oncomine</w:t>
            </w:r>
            <w:proofErr w:type="spellEnd"/>
            <w:r w:rsidRPr="006D2F5E">
              <w:rPr>
                <w:rFonts w:ascii="Calibri" w:eastAsia="Calibri" w:hAnsi="Calibri" w:cs="Calibri"/>
                <w:lang w:val="en-US" w:eastAsia="ar-SA"/>
              </w:rPr>
              <w:t>™ Immune Response Research Assay</w:t>
            </w:r>
          </w:p>
        </w:tc>
        <w:tc>
          <w:tcPr>
            <w:tcW w:w="4961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 xml:space="preserve">• Ειδικό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assay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προσδιορισμoύ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γονιδιακής έκφρασης (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pan-cancer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gene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expression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assay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) σχεδιασμένο για 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χρηση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με πλατφόρμα αλληλουχίας επόμενης γενιάς (NGS) τεχνολογίας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ion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. </w:t>
            </w:r>
            <w:r w:rsidRPr="006D2F5E">
              <w:rPr>
                <w:rFonts w:ascii="Calibri" w:eastAsia="Calibri" w:hAnsi="Calibri" w:cs="Calibri"/>
                <w:lang w:eastAsia="ar-SA"/>
              </w:rPr>
              <w:br/>
              <w:t xml:space="preserve">• Να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μπορει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να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χρησιμοποιηθει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για να διερευνήσει  </w:t>
            </w:r>
            <w:r w:rsidRPr="006D2F5E">
              <w:rPr>
                <w:rFonts w:ascii="Calibri" w:eastAsia="Calibri" w:hAnsi="Calibri" w:cs="Calibri"/>
                <w:lang w:eastAsia="ar-SA"/>
              </w:rPr>
              <w:lastRenderedPageBreak/>
              <w:t xml:space="preserve">το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μικροπεριβάλλον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του όγκου για να επιτρέψει μελέτες και προσδιορισμό προγνωστικών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βιοδεικτών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για ανοσοθεραπεία  σε αναδρομικές ή προοπτικές κλινικές μελέτες. </w:t>
            </w:r>
            <w:r w:rsidRPr="006D2F5E">
              <w:rPr>
                <w:rFonts w:ascii="Calibri" w:eastAsia="Calibri" w:hAnsi="Calibri" w:cs="Calibri"/>
                <w:lang w:eastAsia="ar-SA"/>
              </w:rPr>
              <w:br/>
              <w:t xml:space="preserve">• Η δοκιμασία να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εχει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βελτιστοποιηθει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για τη μέτρηση της έκφρασης των γονιδίων που εμπλέκονται σε αλληλεπιδράσεις όγκου-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ανοσοποιητικου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>, συμπεριλαμβανομένων των γονιδίων χαμηλής έκφρασης που  εμπλέκονται στη φλεγμονώδη σηματοδότηση.</w:t>
            </w:r>
            <w:r w:rsidRPr="006D2F5E">
              <w:rPr>
                <w:rFonts w:ascii="Calibri" w:eastAsia="Calibri" w:hAnsi="Calibri" w:cs="Calibri"/>
                <w:lang w:eastAsia="ar-SA"/>
              </w:rPr>
              <w:br/>
              <w:t xml:space="preserve">• Να περιέχει τα αντιδραστήρια για κατασκευή  βιβλιοθήκης και μία  δεξαμενή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εκκινητών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που χρησιμοποιούνται για την εκτέλεση 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πολυπλεκτικής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PCR για την παρασκευή βιβλιοθηκών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αμπλικονίου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από δείγματα στερεωμένα σε παραφίνη (FFPE). </w:t>
            </w:r>
            <w:r w:rsidRPr="006D2F5E">
              <w:rPr>
                <w:rFonts w:ascii="Calibri" w:eastAsia="Calibri" w:hAnsi="Calibri" w:cs="Calibri"/>
                <w:lang w:eastAsia="ar-SA"/>
              </w:rPr>
              <w:br/>
              <w:t xml:space="preserve">• Να επιτρέπει ποσοτική αξιολόγηση της έκφρασης δεικτών που σχετίζονται με διαφορετικά υποομάδες λευκοκυττάρων,  παρουσία αντιγόνου, οδούς σημείων ελέγχου και εξέλιξη όγκου. </w:t>
            </w:r>
            <w:r w:rsidRPr="006D2F5E">
              <w:rPr>
                <w:rFonts w:ascii="Calibri" w:eastAsia="Calibri" w:hAnsi="Calibri" w:cs="Calibri"/>
                <w:lang w:eastAsia="ar-SA"/>
              </w:rPr>
              <w:br/>
              <w:t xml:space="preserve">• Να επιτρέπει ανίχνευση 400 γονιδίων. </w:t>
            </w:r>
            <w:r w:rsidRPr="006D2F5E">
              <w:rPr>
                <w:rFonts w:ascii="Calibri" w:eastAsia="Calibri" w:hAnsi="Calibri" w:cs="Calibri"/>
                <w:lang w:eastAsia="ar-SA"/>
              </w:rPr>
              <w:br/>
              <w:t xml:space="preserve">• Να αξιοποιεί  την τεχνολογία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Ion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AmpliSeq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™ για να παρέχει αποτελέσματα από μόλις 10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ng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ολικού RNA, επιτρέποντας την μεγάλη απόδοση  από </w:t>
            </w:r>
            <w:proofErr w:type="spellStart"/>
            <w:r w:rsidRPr="006D2F5E">
              <w:rPr>
                <w:rFonts w:ascii="Calibri" w:eastAsia="Calibri" w:hAnsi="Calibri" w:cs="Calibri"/>
                <w:lang w:eastAsia="ar-SA"/>
              </w:rPr>
              <w:t>δυσκολα</w:t>
            </w:r>
            <w:proofErr w:type="spellEnd"/>
            <w:r w:rsidRPr="006D2F5E">
              <w:rPr>
                <w:rFonts w:ascii="Calibri" w:eastAsia="Calibri" w:hAnsi="Calibri" w:cs="Calibri"/>
                <w:lang w:eastAsia="ar-SA"/>
              </w:rPr>
              <w:t xml:space="preserve"> δείγματα FFPE. Συσκευασία για 32 δείγματα.</w:t>
            </w:r>
            <w:r w:rsidRPr="006D2F5E">
              <w:rPr>
                <w:rFonts w:ascii="Calibri" w:eastAsia="Calibri" w:hAnsi="Calibri" w:cs="Calibri"/>
                <w:lang w:eastAsia="ar-SA"/>
              </w:rPr>
              <w:br/>
            </w:r>
          </w:p>
        </w:tc>
        <w:tc>
          <w:tcPr>
            <w:tcW w:w="198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lastRenderedPageBreak/>
              <w:t> </w:t>
            </w:r>
          </w:p>
        </w:tc>
        <w:tc>
          <w:tcPr>
            <w:tcW w:w="2835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296" w:type="dxa"/>
          </w:tcPr>
          <w:p w:rsidR="006D2F5E" w:rsidRPr="006D2F5E" w:rsidRDefault="006D2F5E" w:rsidP="006D2F5E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2F5E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</w:tbl>
    <w:p w:rsidR="006D2F5E" w:rsidRPr="006D2F5E" w:rsidRDefault="006D2F5E" w:rsidP="006D2F5E">
      <w:pPr>
        <w:suppressAutoHyphens/>
        <w:spacing w:after="120" w:line="240" w:lineRule="auto"/>
        <w:jc w:val="both"/>
        <w:rPr>
          <w:rFonts w:ascii="Calibri" w:eastAsia="Calibri" w:hAnsi="Calibri" w:cs="Calibri"/>
          <w:highlight w:val="cyan"/>
          <w:lang w:eastAsia="ar-SA"/>
        </w:rPr>
      </w:pPr>
    </w:p>
    <w:p w:rsidR="005B46FF" w:rsidRDefault="005B46FF"/>
    <w:sectPr w:rsidR="005B46FF" w:rsidSect="006D2F5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3"/>
    <w:rsid w:val="005B46FF"/>
    <w:rsid w:val="006D2F5E"/>
    <w:rsid w:val="00D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04D6-AC76-4176-9471-4D3FAA7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2</cp:revision>
  <dcterms:created xsi:type="dcterms:W3CDTF">2021-06-23T08:22:00Z</dcterms:created>
  <dcterms:modified xsi:type="dcterms:W3CDTF">2021-06-23T08:23:00Z</dcterms:modified>
</cp:coreProperties>
</file>