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4" w:rsidRPr="00CF6E04" w:rsidRDefault="00CF6E04" w:rsidP="00CF6E0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MS Mincho" w:hAnsi="Arial" w:cs="Arial"/>
          <w:b/>
          <w:color w:val="002060"/>
          <w:sz w:val="24"/>
          <w:lang w:val="el-GR" w:eastAsia="zh-CN"/>
        </w:rPr>
      </w:pPr>
      <w:r w:rsidRPr="00CF6E04">
        <w:rPr>
          <w:rFonts w:ascii="Arial" w:eastAsia="MS Mincho" w:hAnsi="Arial" w:cs="Arial"/>
          <w:b/>
          <w:color w:val="002060"/>
          <w:sz w:val="24"/>
          <w:lang w:val="el-GR" w:eastAsia="zh-CN"/>
        </w:rPr>
        <w:t xml:space="preserve">ΠΑΡΑΡΤΗΜΑ ΙΙ – Υπόδειγμα Τεχνικής Προσφοράς </w:t>
      </w:r>
    </w:p>
    <w:p w:rsidR="00CF6E04" w:rsidRPr="00CF6E04" w:rsidRDefault="00CF6E04" w:rsidP="00CF6E04">
      <w:pPr>
        <w:suppressAutoHyphens/>
        <w:spacing w:after="60" w:line="240" w:lineRule="auto"/>
        <w:jc w:val="both"/>
        <w:rPr>
          <w:rFonts w:ascii="Calibri" w:eastAsia="SimSun" w:hAnsi="Calibri" w:cs="Calibri"/>
          <w:i/>
          <w:iCs/>
          <w:color w:val="5B9BD5"/>
          <w:lang w:val="el-GR" w:eastAsia="zh-CN"/>
        </w:rPr>
      </w:pPr>
    </w:p>
    <w:p w:rsidR="00CF6E04" w:rsidRPr="00CF6E04" w:rsidRDefault="00CF6E04" w:rsidP="00CF6E04">
      <w:pPr>
        <w:suppressAutoHyphens/>
        <w:spacing w:after="60" w:line="240" w:lineRule="auto"/>
        <w:jc w:val="both"/>
        <w:rPr>
          <w:rFonts w:ascii="Calibri" w:eastAsia="SimSun" w:hAnsi="Calibri" w:cs="Calibri"/>
          <w:i/>
          <w:iCs/>
          <w:color w:val="5B9BD5"/>
          <w:lang w:val="el-GR" w:eastAsia="zh-CN"/>
        </w:rPr>
      </w:pPr>
    </w:p>
    <w:tbl>
      <w:tblPr>
        <w:tblW w:w="15026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4395"/>
        <w:gridCol w:w="1701"/>
        <w:gridCol w:w="1417"/>
        <w:gridCol w:w="2977"/>
      </w:tblGrid>
      <w:tr w:rsidR="00CF6E04" w:rsidRPr="00CF6E04" w:rsidTr="00F92048">
        <w:trPr>
          <w:cantSplit/>
          <w:tblHeader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52" w:type="dxa"/>
            </w:tcMar>
            <w:vAlign w:val="center"/>
          </w:tcPr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Calibri"/>
                <w:lang w:val="el-GR"/>
              </w:rPr>
            </w:pPr>
            <w:r w:rsidRPr="00CF6E04">
              <w:rPr>
                <w:rFonts w:ascii="Calibri" w:eastAsia="Calibri" w:hAnsi="Calibri" w:cs="Calibri"/>
                <w:b/>
                <w:lang w:val="el-GR"/>
              </w:rPr>
              <w:t>ΤΜΗΜΑ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  <w:p w:rsidR="00CF6E04" w:rsidRPr="00CF6E04" w:rsidRDefault="00CF6E04" w:rsidP="00CF6E04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l-GR"/>
              </w:rPr>
            </w:pPr>
            <w:r>
              <w:rPr>
                <w:rFonts w:ascii="Calibri" w:eastAsia="Calibri" w:hAnsi="Calibri" w:cs="Calibri"/>
                <w:b/>
                <w:lang w:val="el-GR"/>
              </w:rPr>
              <w:t xml:space="preserve">                               </w:t>
            </w:r>
            <w:bookmarkStart w:id="0" w:name="_GoBack"/>
            <w:bookmarkEnd w:id="0"/>
            <w:r w:rsidRPr="00CF6E04">
              <w:rPr>
                <w:rFonts w:ascii="Calibri" w:eastAsia="Calibri" w:hAnsi="Calibri" w:cs="Calibri"/>
                <w:b/>
                <w:lang w:val="el-GR"/>
              </w:rPr>
              <w:t>ΕΙΔΟΣ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52" w:type="dxa"/>
            </w:tcMar>
            <w:vAlign w:val="center"/>
          </w:tcPr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MS Mincho" w:hAnsi="Calibri" w:cs="Calibri"/>
                <w:lang w:val="el-GR"/>
              </w:rPr>
            </w:pPr>
            <w:r w:rsidRPr="00CF6E04">
              <w:rPr>
                <w:rFonts w:ascii="Calibri" w:eastAsia="Calibri" w:hAnsi="Calibri" w:cs="Calibri"/>
                <w:b/>
                <w:lang w:val="el-GR"/>
              </w:rPr>
              <w:t xml:space="preserve">ΕΛΑΧΙΣΤΕΣ </w:t>
            </w:r>
            <w:r w:rsidRPr="00CF6E04">
              <w:rPr>
                <w:rFonts w:ascii="Calibri" w:eastAsia="Calibri" w:hAnsi="Calibri" w:cs="Calibri"/>
                <w:b/>
              </w:rPr>
              <w:t>ΠΡΟΔΙΑΓΡΑΦ</w:t>
            </w:r>
            <w:r w:rsidRPr="00CF6E04">
              <w:rPr>
                <w:rFonts w:ascii="Calibri" w:eastAsia="Calibri" w:hAnsi="Calibri" w:cs="Calibri"/>
                <w:b/>
                <w:lang w:val="el-GR"/>
              </w:rPr>
              <w:t>ΕΣ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CF6E04">
              <w:rPr>
                <w:rFonts w:ascii="Calibri" w:eastAsia="Calibri" w:hAnsi="Calibri" w:cs="Calibri"/>
                <w:b/>
                <w:lang w:val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val="el-GR"/>
              </w:rPr>
            </w:pPr>
          </w:p>
          <w:p w:rsidR="00CF6E04" w:rsidRPr="00CF6E04" w:rsidRDefault="00CF6E04" w:rsidP="00CF6E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CF6E04">
              <w:rPr>
                <w:rFonts w:ascii="Calibri" w:eastAsia="Calibri" w:hAnsi="Calibri" w:cs="Calibri"/>
                <w:b/>
                <w:lang w:val="el-GR"/>
              </w:rPr>
              <w:t>ΑΠΑΝΤΗΣΗ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b/>
                <w:bCs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b/>
                <w:bCs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b/>
                <w:bCs/>
                <w:lang w:val="el-GR" w:eastAsia="zh-CN"/>
              </w:rPr>
              <w:t xml:space="preserve">ΠΑΡΑΠΟΜΠΗ </w:t>
            </w: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Πλακίδιο καθυστέρησης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Πλακίδιο λ/2 πολλαπλής τάξης για 1064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με θήκη 1 ίντσας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n-GB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Πολωτής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Γραμμικός πολωτής με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extinction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ratio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&gt; 1000:1 στα 1050-1400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εύρος λειτουργίας 1050-1700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ανακλαστικότητα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&lt;0.5% στις 0</w:t>
            </w:r>
            <w:r w:rsidRPr="00CF6E04">
              <w:rPr>
                <w:rFonts w:ascii="Calibri" w:eastAsia="MS Mincho" w:hAnsi="Calibri" w:cs="Calibri"/>
                <w:szCs w:val="24"/>
                <w:vertAlign w:val="superscript"/>
                <w:lang w:val="el-GR" w:eastAsia="zh-CN"/>
              </w:rPr>
              <w:t>ο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στα 1050-1700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222222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222222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LED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Πηγή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LED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ψυχρού λευκού φωτός 6500 Κ, προσαρμοσμένη σε βάση, 800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mW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(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min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), 1000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mA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(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min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), με ηλεκτρονικό χειριστήριο ρυθμιζόμενης εξωτερικής ισχύος και δυνατότητα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external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triggering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και τροφοδοτικό 15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V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2.4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A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συμβατό με το χειριστήριο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στήριξης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Βάση στήριξης σε οπτική τράπεζα, 1’’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x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3’’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x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3/8’’ ίντσες, συμβατή με τις διαθέσιμες τράπεζες, πακέτο των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color w:val="222222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Arial"/>
                <w:color w:val="222222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Υποδοχέας ράβδων στήριξης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Υποδοχέας ράβδων στήριξης οπτικών στοιχείων ½‘’, μήκος 2’’, συμβατός με ατσάλινες ράβδους της εταιρείας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Thorlabs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πακέτο των 5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Υποδοχέας ράβδων στήριξης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Υποδοχέας ράβδων στήριξης οπτικών στοιχείων ½‘’, μήκος 1.5’’, συμβατός με ατσάλινες ράβδους της εταιρείας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Thorlabs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πακέτο των 5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Υποδοχέας ράβδων στήριξης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Υποδοχέας ράβδων στήριξης οπτικών στοιχείων ½‘’, μήκος 3’’, συμβατός με ατσάλινες ράβδους της εταιρείας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Thorlabs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πακέτο των 5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 στήριξης οπτικών στοιχείων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Ράβδοι από ανοξείδωτο ατσάλι, διάμετρος ½’’,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setscrew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¼’’-20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μήκος 2’’, πακέτο των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 στήριξης οπτικών στοιχείων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από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ανοξείδωτο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ατσάλι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,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διάμετρος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½’’, 8-32 setscrew, ¼’’-20 tap,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μήκος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1.5’’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  <w:p w:rsidR="00CF6E04" w:rsidRPr="00CF6E04" w:rsidRDefault="00CF6E04" w:rsidP="00CF6E04">
            <w:pPr>
              <w:keepNext/>
              <w:pageBreakBefore/>
              <w:suppressAutoHyphens/>
              <w:spacing w:after="0" w:line="240" w:lineRule="auto"/>
              <w:jc w:val="both"/>
              <w:outlineLvl w:val="0"/>
              <w:rPr>
                <w:rFonts w:ascii="Calibri" w:eastAsia="MS Mincho" w:hAnsi="Calibri" w:cs="Arial"/>
                <w:bCs/>
                <w:shd w:val="clear" w:color="auto" w:fill="FFFFFF"/>
                <w:lang w:val="el-GR" w:eastAsia="zh-CN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 στήριξης οπτικών στοιχείων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Ράβδοι από ανοξείδωτο ατσάλι, διάμετρος ½’’,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setscrew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¼’’-20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μήκος 3’’, πακέτο των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Πλατφόρμα μετακίνησης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Εύρος μετακίνησης 1’’, ¼’’-20 σπειρώματα, μηχανισμός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dovetale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ενδεικτική κλίμακα μετακίνησης, συμβατή με τις διαθέσιμες τράπεζες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κατόπτρου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Βάση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μικρομετρικής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προσαρμογής κατόπτρων 1’’, γωνιακής ρύθμισης 4</w:t>
            </w:r>
            <w:r w:rsidRPr="00CF6E04">
              <w:rPr>
                <w:rFonts w:ascii="Calibri" w:eastAsia="MS Mincho" w:hAnsi="Calibri" w:cs="Calibri"/>
                <w:szCs w:val="24"/>
                <w:vertAlign w:val="superscript"/>
                <w:lang w:val="el-GR" w:eastAsia="zh-CN"/>
              </w:rPr>
              <w:t>ο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συμβατή με τις υπάρχουσες διατάξεις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Περιστροφική βάση πολωτή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για πολωτές ½’’, με κλίμακα 360</w:t>
            </w:r>
            <w:r w:rsidRPr="00CF6E04">
              <w:rPr>
                <w:rFonts w:ascii="Calibri" w:eastAsia="MS Mincho" w:hAnsi="Calibri" w:cs="Calibri"/>
                <w:szCs w:val="24"/>
                <w:vertAlign w:val="superscript"/>
                <w:lang w:val="el-GR" w:eastAsia="zh-CN"/>
              </w:rPr>
              <w:t>ο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βήματος 2</w:t>
            </w:r>
            <w:r w:rsidRPr="00CF6E04">
              <w:rPr>
                <w:rFonts w:ascii="Calibri" w:eastAsia="MS Mincho" w:hAnsi="Calibri" w:cs="Calibri"/>
                <w:szCs w:val="24"/>
                <w:vertAlign w:val="superscript"/>
                <w:lang w:val="el-GR" w:eastAsia="zh-CN"/>
              </w:rPr>
              <w:t>ο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συμβατή με τις υπάρχουσες διατάξεις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Ίριδα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Ίριδα με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1, 12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μεγ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.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ανοιγμα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ρυθμιζόμενη με δακτύλιο, συμβατή με τις υπάρχουσες διατάξεις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Κινητή βάση οπτικών στοιχείων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Κίνηση στον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z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-άξονα, συμβατή με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για οπτικά 1’’, βήμα κίνησης 1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Προσαρμογέας σπειρώματος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Εξωτερικό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 και εσωτερικό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RMS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Κινητή βάση φακού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Κίνηση στους άξονες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xy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συμβατή με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για οπτικά 1’’, εύρος κίνησης 1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Σύνδεσμος σπειρώματος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Μήκος 0.5’’, εσωτερικό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 για το σύνδεσμο εξωτερικών σπειρωμάτων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φακού μικροσκοπίου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Βάση με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RMS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συμβατή με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πάχος 0.35’’,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Κύλινδρος στήριξης φακού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Με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1, για οπτικά 1’’, συμβατός με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Προσαρμογέας σπειρώματος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Εξωτερικό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 και εσωτερικό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Ρυθμιζόμενος κύλινδρος φακού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2’’ διάμετρος, 0.81’’ εύρος μετακίνησης, περιστροφική προσαρμογή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Σύνδεσμος σπειρώματος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Μήκος 0.5’’, εσωτερικό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2 για το σύνδεσμο εξωτερικών σπειρωμάτων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Πλατφόρμα μετακίνησης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Εύρος μετακίνησης 10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ευαισθησία 1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φορτίο 10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kg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μικρομετρικός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κοχλίας, συμβατή με τις διαθέσιμες τράπεζες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Πλατφόρμα μετακίνησης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Εύρος μετακίνησης ½’’, μηχανισμός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dovetail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σπείρωμα 8-32 για τη στήριξη οπτικών, συμβατή με τις διαθέσιμες τράπεζες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Πλατφόρμα μετακίνησης οπτικών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Εύρος μετακίνησης 10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ευαισθησία 1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φορτίο 6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kg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μικρομετρικός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κοχλίας, 10.5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πάχος, συμβατή με τις διαθέσιμες τράπεζες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Γωνία στήριξης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Γωνία κάθετης στήριξης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οπτομηχανικών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μαύρο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ανοδιωμένο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αλουμίνιο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Ίριδα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Ίριδα με ράβδο στήριξης μήκους 3’’, 36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μεγ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.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ανοιγμα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συμβατή με τις υπάρχουσες διατάξεις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φακού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Με δαχτυλίδι σύσφιξης, διάμετρος 1’’,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εσωτερικό σπείρωμα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φακού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Με δαχτυλίδι σύσφιξης, διάμετρος 2’’,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εσωτερικό σπείρωμα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Καταγραφέας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θέσης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Συμβατός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με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quadrant photodetector PDQ80A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της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Thorlabs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Διηλεκτρικό κάτοπτρο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1’’, λεία πίσω επιφάνεια, ευρείας ζώνης, 750-1100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Φακός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Ν-ΒΚ7, αμφίκοιλος, 1’’,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f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=100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αντιανακλαστική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επίστρωση 650-1050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Προσαρμογέας κλωβών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Πλακίδιο προσαρμογής μεταξύ 60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και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κλωβών,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κατόπτρου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Κινηματική βάση ορθής γωνίας, συμβατή με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1’’,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 κλωβών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Ράβδοι σχηματισμού κλωβών, μήκος 2’’, διάμετρος 6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4-40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setscrew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πακέτο των 4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Πλακίδιο κλωβού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Για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και οπτικά 1’’, με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1, πάχος 0.35’’, 2 δαχτυλίδια σύσφιξης,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Πλακίδιο κλωβού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Για σύστημα κλωβού 30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και οπτικά 0.5’’, με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1, πάχος 0.35’’, 2 δαχτυλίδια σύσφιξης, 8-32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tap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Σύνδεσμος σπειρώματος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Μήκος 0.5’’, εσωτερικό σπείρωμα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05 για το σύνδεσμο εξωτερικών σπειρωμάτων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05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Ράβδοι κλωβών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Ράβδοι σχηματισμού κλωβών, μήκος 6’’, διάμετρος 6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4-40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setscrew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πακέτο των 4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Εργαλειοθήκη προετοιμασίας μικροσκοπίας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Σετ εργαλείων για προετοιμασία δειγμάτων μικροσκοπίας (λάδι καταδυτικών φακών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Cargille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LDF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σφαιρίδια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fused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silica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σε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απιονισμένο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νερό 2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g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/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ml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πιπέτες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50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l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5 γυαλιά μικροσκοπίου με πηγάδια διαμέτρου 10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, βάθους 20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2 πλαστικά υποστρώματα μικροσκοπίου με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μικρομετρικά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κανάλια 400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ύψος, 100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l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όγκος, 100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καλυπτρίδες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18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x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18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πάχος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Νο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. 1.5,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στακτήρας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λαδιού)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42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Γάντια εργαστηρίου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Latex powder free, small and medium size,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πακέτα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των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Κάτοπτρο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Κάτοπτρο αργύρου, 1’’, 450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– 20 μ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προστατευμένο με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SiO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vertAlign w:val="subscript"/>
                <w:lang w:val="el-GR" w:eastAsia="zh-CN"/>
              </w:rPr>
              <w:t>2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πάχος 3.2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ανακλαστικότητα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&gt;97% στα 1064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nm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Βάση κατόπτρου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Κινηματική βάση για κάτοπτρα 1’’, πάχους τουλάχιστον 3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με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μικρομετρική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ρύθμιση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Ίριδα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Ίριδα με ράβδο στήριξης μήκους 3’’, 12 </w:t>
            </w: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mm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μεγ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.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ανοιγμα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, συμβατή με τις υπάρχουσες διατάξεις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>Οπτικό φίλτρο μικροσκοπίου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Συμβατό με το υπάρχον μικροσκόπιο </w:t>
            </w:r>
            <w:r w:rsidRPr="00CF6E04">
              <w:rPr>
                <w:rFonts w:ascii="Calibri" w:eastAsia="MS Mincho" w:hAnsi="Calibri" w:cs="Calibri"/>
                <w:szCs w:val="24"/>
                <w:lang w:val="en-GB" w:eastAsia="zh-CN"/>
              </w:rPr>
              <w:t>LEICA</w:t>
            </w:r>
            <w:r w:rsidRPr="00CF6E04">
              <w:rPr>
                <w:rFonts w:ascii="Calibri" w:eastAsia="MS Mincho" w:hAnsi="Calibri" w:cs="Calibri"/>
                <w:szCs w:val="24"/>
                <w:lang w:val="el-GR" w:eastAsia="zh-CN"/>
              </w:rPr>
              <w:t xml:space="preserve"> </w:t>
            </w:r>
            <w:r w:rsidRPr="00CF6E04">
              <w:rPr>
                <w:rFonts w:ascii="Calibri" w:eastAsia="MS Mincho" w:hAnsi="Calibri" w:cs="Calibri"/>
                <w:szCs w:val="24"/>
                <w:lang w:val="en-GB" w:eastAsia="zh-CN"/>
              </w:rPr>
              <w:t>DMRX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Silicone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encapsulant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Clear Silicone </w:t>
            </w:r>
            <w:proofErr w:type="spellStart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encapsulant</w:t>
            </w:r>
            <w:proofErr w:type="spellEnd"/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 xml:space="preserve">  1.1 kg kit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2-(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Dodecylthiocarbonothioylthio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)-2-methylpropionic acid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4-Cyano-4-[(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dodecylsulfanylthiocarbonyl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)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sulfanyl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]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pentanoic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acid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4-Cyano-4-(phenyl-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carbonothioylthio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)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pentanoic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acid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2-(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Diisopropylamino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)ethyl methacrylate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hd w:val="clear" w:color="auto" w:fill="FFFFFF"/>
                <w:lang w:val="en-GB" w:eastAsia="zh-CN"/>
              </w:rPr>
              <w:t>97%, contains inhibitor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Hydriodic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acid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57wt% in H</w:t>
            </w:r>
            <w:r w:rsidRPr="00CF6E04">
              <w:rPr>
                <w:rFonts w:ascii="Calibri" w:eastAsia="MS Mincho" w:hAnsi="Calibri" w:cs="Calibri"/>
                <w:color w:val="000000"/>
                <w:vertAlign w:val="subscript"/>
                <w:lang w:val="en-GB" w:eastAsia="zh-CN"/>
              </w:rPr>
              <w:t>2</w:t>
            </w: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0, distilled, stabilized, 99.95%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Hydrobromic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acid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48%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1-vinylimidazole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szCs w:val="24"/>
                <w:lang w:eastAsia="zh-CN"/>
              </w:rPr>
              <w:t>&gt;99%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4-vinylpyridine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95%, contains inhibitor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proofErr w:type="spellStart"/>
            <w:r w:rsidRPr="00CF6E04">
              <w:rPr>
                <w:rFonts w:ascii="Calibri" w:eastAsia="MS Mincho" w:hAnsi="Calibri" w:cs="Calibri"/>
                <w:lang w:val="en-GB" w:eastAsia="zh-CN"/>
              </w:rPr>
              <w:t>Bis</w:t>
            </w:r>
            <w:proofErr w:type="spellEnd"/>
            <w:r w:rsidRPr="00CF6E04">
              <w:rPr>
                <w:rFonts w:ascii="Calibri" w:eastAsia="MS Mincho" w:hAnsi="Calibri" w:cs="Calibri"/>
                <w:lang w:val="en-GB" w:eastAsia="zh-CN"/>
              </w:rPr>
              <w:t>(</w:t>
            </w:r>
            <w:proofErr w:type="spellStart"/>
            <w:r w:rsidRPr="00CF6E04">
              <w:rPr>
                <w:rFonts w:ascii="Calibri" w:eastAsia="MS Mincho" w:hAnsi="Calibri" w:cs="Calibri"/>
                <w:lang w:val="en-GB" w:eastAsia="zh-CN"/>
              </w:rPr>
              <w:t>trifluoromethane</w:t>
            </w:r>
            <w:proofErr w:type="spellEnd"/>
            <w:r w:rsidRPr="00CF6E04">
              <w:rPr>
                <w:rFonts w:ascii="Calibri" w:eastAsia="MS Mincho" w:hAnsi="Calibri" w:cs="Calibri"/>
                <w:lang w:val="en-GB" w:eastAsia="zh-CN"/>
              </w:rPr>
              <w:t>)</w:t>
            </w:r>
            <w:proofErr w:type="spellStart"/>
            <w:r w:rsidRPr="00CF6E04">
              <w:rPr>
                <w:rFonts w:ascii="Calibri" w:eastAsia="MS Mincho" w:hAnsi="Calibri" w:cs="Calibri"/>
                <w:lang w:val="en-GB" w:eastAsia="zh-CN"/>
              </w:rPr>
              <w:t>sulfonimide</w:t>
            </w:r>
            <w:proofErr w:type="spellEnd"/>
            <w:r w:rsidRPr="00CF6E04">
              <w:rPr>
                <w:rFonts w:ascii="Calibri" w:eastAsia="MS Mincho" w:hAnsi="Calibri" w:cs="Calibri"/>
                <w:lang w:val="en-GB" w:eastAsia="zh-CN"/>
              </w:rPr>
              <w:t xml:space="preserve"> lithium salt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N,N-DIMETHYLFORMAMIDE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ACS reagent,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reag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. Ph. Eur., ≥99.8% (GC)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ACETONITRILE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for HPLC, gradient grade, ≥99.9%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lastRenderedPageBreak/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TOLUENE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ACS Reagent,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Reag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. ISO,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Reag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. Ph. Eur., ≥99.7%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ETHANOL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denaturated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with 0.5-1.5 Vol.% 2-butanone </w:t>
            </w: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br/>
              <w:t xml:space="preserve">and approx. 0.001%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Bitrex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 (GC), ≥98% (GC)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METHANOL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ACS Reagent,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Reag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. ISO, </w:t>
            </w:r>
            <w:proofErr w:type="spellStart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Reag</w:t>
            </w:r>
            <w:proofErr w:type="spellEnd"/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. Ph. Eur., ≥99.8%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TETRAHYDROFURAN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ACS reagent, &gt;99%, contains inhibitor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  <w:tr w:rsidR="00CF6E04" w:rsidRPr="00CF6E04" w:rsidTr="00F92048">
        <w:trPr>
          <w:trHeight w:val="22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pacing w:before="120"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F6E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 xml:space="preserve">ACETONE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2" w:type="dxa"/>
              <w:bottom w:w="57" w:type="dxa"/>
            </w:tcMar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MS Mincho" w:hAnsi="Calibri" w:cs="Calibri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lang w:val="en-GB" w:eastAsia="zh-CN"/>
              </w:rPr>
              <w:t>ACS reagent, &gt;99%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</w:pPr>
          </w:p>
          <w:p w:rsidR="00CF6E04" w:rsidRPr="00CF6E04" w:rsidRDefault="00CF6E04" w:rsidP="00CF6E04">
            <w:pPr>
              <w:suppressAutoHyphens/>
              <w:spacing w:after="120" w:line="240" w:lineRule="auto"/>
              <w:jc w:val="center"/>
              <w:rPr>
                <w:rFonts w:ascii="Calibri" w:eastAsia="MS Mincho" w:hAnsi="Calibri" w:cs="Calibri"/>
                <w:color w:val="000000"/>
                <w:szCs w:val="24"/>
                <w:lang w:eastAsia="zh-CN"/>
              </w:rPr>
            </w:pPr>
            <w:r w:rsidRPr="00CF6E04">
              <w:rPr>
                <w:rFonts w:ascii="Calibri" w:eastAsia="MS Mincho" w:hAnsi="Calibri" w:cs="Calibri"/>
                <w:color w:val="000000"/>
                <w:szCs w:val="24"/>
                <w:lang w:val="el-GR" w:eastAsia="zh-CN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6E04" w:rsidRPr="00CF6E04" w:rsidRDefault="00CF6E04" w:rsidP="00CF6E0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  <w:lang w:val="el-GR" w:eastAsia="el-GR"/>
              </w:rPr>
            </w:pPr>
          </w:p>
        </w:tc>
      </w:tr>
    </w:tbl>
    <w:p w:rsidR="00CF6E04" w:rsidRPr="00CF6E04" w:rsidRDefault="00CF6E04" w:rsidP="00CF6E04">
      <w:pPr>
        <w:suppressAutoHyphens/>
        <w:spacing w:after="60" w:line="240" w:lineRule="auto"/>
        <w:jc w:val="both"/>
        <w:rPr>
          <w:rFonts w:ascii="Calibri" w:eastAsia="SimSun" w:hAnsi="Calibri" w:cs="Calibri"/>
          <w:iCs/>
          <w:color w:val="5B9BD5"/>
          <w:lang w:val="el-GR" w:eastAsia="zh-CN"/>
        </w:rPr>
      </w:pPr>
    </w:p>
    <w:p w:rsidR="00CF6E04" w:rsidRPr="00CF6E04" w:rsidRDefault="00CF6E04" w:rsidP="00CF6E04">
      <w:pPr>
        <w:suppressAutoHyphens/>
        <w:spacing w:after="60" w:line="240" w:lineRule="auto"/>
        <w:ind w:left="-1276"/>
        <w:jc w:val="both"/>
        <w:rPr>
          <w:rFonts w:ascii="Calibri" w:eastAsia="SimSun" w:hAnsi="Calibri" w:cs="Calibri"/>
          <w:iCs/>
          <w:color w:val="5B9BD5"/>
          <w:lang w:val="el-GR" w:eastAsia="zh-CN"/>
        </w:rPr>
      </w:pPr>
    </w:p>
    <w:p w:rsidR="00CF6E04" w:rsidRPr="00CF6E04" w:rsidRDefault="00CF6E04" w:rsidP="00CF6E04">
      <w:pPr>
        <w:spacing w:before="240" w:after="60" w:line="240" w:lineRule="auto"/>
        <w:jc w:val="center"/>
        <w:outlineLvl w:val="4"/>
        <w:rPr>
          <w:rFonts w:ascii="Calibri" w:eastAsia="MS Mincho" w:hAnsi="Calibri" w:cs="Calibri"/>
          <w:szCs w:val="24"/>
          <w:lang w:val="en-GB" w:eastAsia="zh-CN"/>
        </w:rPr>
      </w:pPr>
      <w:r w:rsidRPr="00CF6E04">
        <w:rPr>
          <w:rFonts w:ascii="Calibri" w:eastAsia="MS Mincho" w:hAnsi="Calibri" w:cs="Calibri"/>
          <w:b/>
          <w:bCs/>
          <w:i/>
          <w:iCs/>
          <w:lang w:val="el-GR"/>
        </w:rPr>
        <w:t>Σφραγίδα και υπογραφή Υποψήφιου Προμηθευτή</w:t>
      </w:r>
    </w:p>
    <w:p w:rsidR="0079408D" w:rsidRDefault="0079408D"/>
    <w:sectPr w:rsidR="0079408D" w:rsidSect="00CF6E0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5"/>
    <w:rsid w:val="0079408D"/>
    <w:rsid w:val="00CF6E04"/>
    <w:rsid w:val="00D62425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2D2F-4475-4C77-B34A-CF6B2664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3</cp:revision>
  <dcterms:created xsi:type="dcterms:W3CDTF">2020-08-27T09:03:00Z</dcterms:created>
  <dcterms:modified xsi:type="dcterms:W3CDTF">2020-08-27T09:05:00Z</dcterms:modified>
</cp:coreProperties>
</file>